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C9AC2" w14:textId="77777777" w:rsidR="00931DFE" w:rsidRPr="004D5082" w:rsidRDefault="00931DFE" w:rsidP="00931DFE">
      <w:pPr>
        <w:pStyle w:val="Default"/>
        <w:jc w:val="center"/>
        <w:rPr>
          <w:rFonts w:ascii="Times New Roman" w:hAnsi="Times New Roman" w:cs="Times New Roman"/>
          <w:b/>
          <w:bCs/>
          <w:sz w:val="28"/>
        </w:rPr>
      </w:pPr>
    </w:p>
    <w:p w14:paraId="7799EBCD" w14:textId="77777777" w:rsidR="00931DFE" w:rsidRDefault="00931DFE" w:rsidP="00931DFE">
      <w:pPr>
        <w:pStyle w:val="Default"/>
        <w:jc w:val="center"/>
        <w:rPr>
          <w:rFonts w:ascii="Times New Roman" w:hAnsi="Times New Roman" w:cs="Times New Roman"/>
          <w:b/>
          <w:bCs/>
          <w:sz w:val="28"/>
        </w:rPr>
      </w:pPr>
    </w:p>
    <w:p w14:paraId="6BCCC283" w14:textId="77777777" w:rsidR="00A43A4D" w:rsidRDefault="00A43A4D" w:rsidP="00931DFE">
      <w:pPr>
        <w:pStyle w:val="Default"/>
        <w:jc w:val="center"/>
        <w:rPr>
          <w:rFonts w:ascii="Times New Roman" w:hAnsi="Times New Roman" w:cs="Times New Roman"/>
          <w:b/>
          <w:bCs/>
          <w:sz w:val="28"/>
        </w:rPr>
      </w:pPr>
    </w:p>
    <w:p w14:paraId="294F1AD2" w14:textId="77777777" w:rsidR="00A43A4D" w:rsidRDefault="00A43A4D" w:rsidP="00931DFE">
      <w:pPr>
        <w:pStyle w:val="Default"/>
        <w:jc w:val="center"/>
        <w:rPr>
          <w:rFonts w:ascii="Times New Roman" w:hAnsi="Times New Roman" w:cs="Times New Roman"/>
          <w:b/>
          <w:bCs/>
          <w:sz w:val="28"/>
        </w:rPr>
      </w:pPr>
    </w:p>
    <w:p w14:paraId="5AC4AE3F" w14:textId="77777777" w:rsidR="00A43A4D" w:rsidRDefault="00A43A4D" w:rsidP="00931DFE">
      <w:pPr>
        <w:pStyle w:val="Default"/>
        <w:jc w:val="center"/>
        <w:rPr>
          <w:rFonts w:ascii="Times New Roman" w:hAnsi="Times New Roman" w:cs="Times New Roman"/>
          <w:b/>
          <w:bCs/>
          <w:sz w:val="28"/>
        </w:rPr>
      </w:pPr>
    </w:p>
    <w:p w14:paraId="465D9D6C" w14:textId="77777777" w:rsidR="00A43A4D" w:rsidRDefault="00A43A4D" w:rsidP="00931DFE">
      <w:pPr>
        <w:pStyle w:val="Default"/>
        <w:jc w:val="center"/>
        <w:rPr>
          <w:rFonts w:ascii="Times New Roman" w:hAnsi="Times New Roman" w:cs="Times New Roman"/>
          <w:b/>
          <w:bCs/>
          <w:sz w:val="28"/>
        </w:rPr>
      </w:pPr>
    </w:p>
    <w:p w14:paraId="106D1FB7" w14:textId="77777777" w:rsidR="00A43A4D" w:rsidRDefault="00A43A4D" w:rsidP="00931DFE">
      <w:pPr>
        <w:pStyle w:val="Default"/>
        <w:jc w:val="center"/>
        <w:rPr>
          <w:rFonts w:ascii="Times New Roman" w:hAnsi="Times New Roman" w:cs="Times New Roman"/>
          <w:b/>
          <w:bCs/>
          <w:sz w:val="28"/>
        </w:rPr>
      </w:pPr>
    </w:p>
    <w:p w14:paraId="45665D09" w14:textId="77777777" w:rsidR="00A43A4D" w:rsidRDefault="00A43A4D" w:rsidP="00931DFE">
      <w:pPr>
        <w:pStyle w:val="Default"/>
        <w:jc w:val="center"/>
        <w:rPr>
          <w:rFonts w:ascii="Times New Roman" w:hAnsi="Times New Roman" w:cs="Times New Roman"/>
          <w:b/>
          <w:bCs/>
          <w:sz w:val="28"/>
        </w:rPr>
      </w:pPr>
    </w:p>
    <w:p w14:paraId="030C0CE6" w14:textId="77777777" w:rsidR="00A43A4D" w:rsidRPr="004D5082" w:rsidRDefault="00A43A4D" w:rsidP="00931DFE">
      <w:pPr>
        <w:pStyle w:val="Default"/>
        <w:jc w:val="center"/>
        <w:rPr>
          <w:rFonts w:ascii="Times New Roman" w:hAnsi="Times New Roman" w:cs="Times New Roman"/>
          <w:b/>
          <w:bCs/>
          <w:sz w:val="28"/>
        </w:rPr>
      </w:pPr>
      <w:bookmarkStart w:id="0" w:name="_GoBack"/>
      <w:bookmarkEnd w:id="0"/>
    </w:p>
    <w:p w14:paraId="66F803D1" w14:textId="77777777" w:rsidR="00931DFE" w:rsidRPr="004D5082" w:rsidRDefault="00931DFE" w:rsidP="00931DFE">
      <w:pPr>
        <w:pStyle w:val="Default"/>
        <w:jc w:val="center"/>
        <w:rPr>
          <w:rFonts w:ascii="Times New Roman" w:hAnsi="Times New Roman" w:cs="Times New Roman"/>
          <w:b/>
          <w:bCs/>
          <w:sz w:val="28"/>
        </w:rPr>
      </w:pPr>
    </w:p>
    <w:p w14:paraId="3C4EFF6C" w14:textId="77777777" w:rsidR="00931DFE" w:rsidRPr="004D5082" w:rsidRDefault="00931DFE" w:rsidP="00931DFE">
      <w:pPr>
        <w:pStyle w:val="Default"/>
        <w:rPr>
          <w:rFonts w:ascii="Times New Roman" w:hAnsi="Times New Roman" w:cs="Times New Roman"/>
          <w:b/>
          <w:bCs/>
          <w:sz w:val="28"/>
        </w:rPr>
      </w:pPr>
    </w:p>
    <w:p w14:paraId="729F47BA" w14:textId="77777777" w:rsidR="00931DFE" w:rsidRPr="004D5082" w:rsidRDefault="00931DFE" w:rsidP="00931DFE">
      <w:pPr>
        <w:pStyle w:val="Default"/>
        <w:jc w:val="center"/>
        <w:rPr>
          <w:rFonts w:ascii="Times New Roman" w:hAnsi="Times New Roman" w:cs="Times New Roman"/>
          <w:b/>
          <w:bCs/>
          <w:sz w:val="44"/>
        </w:rPr>
      </w:pPr>
      <w:r w:rsidRPr="004D5082">
        <w:rPr>
          <w:rFonts w:ascii="Times New Roman" w:hAnsi="Times New Roman" w:cs="Times New Roman"/>
          <w:b/>
          <w:bCs/>
          <w:sz w:val="44"/>
        </w:rPr>
        <w:t>ACCT 331/531 – Financial Accounting II</w:t>
      </w:r>
    </w:p>
    <w:p w14:paraId="4742F799" w14:textId="3DA9A807" w:rsidR="00931DFE" w:rsidRPr="004D5082" w:rsidRDefault="00931DFE" w:rsidP="00931DFE">
      <w:pPr>
        <w:pStyle w:val="Default"/>
        <w:jc w:val="center"/>
        <w:rPr>
          <w:rFonts w:ascii="Times New Roman" w:hAnsi="Times New Roman" w:cs="Times New Roman"/>
          <w:b/>
          <w:bCs/>
          <w:sz w:val="44"/>
        </w:rPr>
      </w:pPr>
      <w:r w:rsidRPr="004D5082">
        <w:rPr>
          <w:rFonts w:ascii="Times New Roman" w:hAnsi="Times New Roman" w:cs="Times New Roman"/>
          <w:b/>
          <w:bCs/>
          <w:sz w:val="44"/>
        </w:rPr>
        <w:t>Spring 2016</w:t>
      </w:r>
    </w:p>
    <w:p w14:paraId="6F217814" w14:textId="77777777" w:rsidR="00931DFE" w:rsidRPr="004D5082" w:rsidRDefault="00931DFE">
      <w:pPr>
        <w:rPr>
          <w:sz w:val="36"/>
        </w:rPr>
      </w:pPr>
    </w:p>
    <w:p w14:paraId="72088CC0" w14:textId="77777777" w:rsidR="00931DFE" w:rsidRPr="004D5082" w:rsidRDefault="00931DFE">
      <w:pPr>
        <w:rPr>
          <w:sz w:val="28"/>
        </w:rPr>
      </w:pPr>
    </w:p>
    <w:p w14:paraId="6B860290" w14:textId="5C7B913F" w:rsidR="00931DFE" w:rsidRPr="004D5082" w:rsidRDefault="00931DFE" w:rsidP="00931DFE">
      <w:pPr>
        <w:jc w:val="center"/>
        <w:rPr>
          <w:sz w:val="36"/>
        </w:rPr>
      </w:pPr>
      <w:r w:rsidRPr="004D5082">
        <w:rPr>
          <w:sz w:val="36"/>
        </w:rPr>
        <w:t xml:space="preserve">The impact of the Sarbanes-Oxley Act on corporate </w:t>
      </w:r>
      <w:bookmarkStart w:id="1" w:name="OLE_LINK3"/>
      <w:bookmarkStart w:id="2" w:name="OLE_LINK4"/>
      <w:r w:rsidRPr="004D5082">
        <w:rPr>
          <w:sz w:val="36"/>
        </w:rPr>
        <w:t>financial reporting</w:t>
      </w:r>
      <w:bookmarkEnd w:id="1"/>
      <w:bookmarkEnd w:id="2"/>
    </w:p>
    <w:p w14:paraId="309FED8F" w14:textId="77777777" w:rsidR="00931DFE" w:rsidRPr="004D5082" w:rsidRDefault="00931DFE" w:rsidP="00931DFE">
      <w:pPr>
        <w:jc w:val="both"/>
        <w:rPr>
          <w:sz w:val="28"/>
        </w:rPr>
      </w:pPr>
    </w:p>
    <w:p w14:paraId="026958B3" w14:textId="77777777" w:rsidR="00931DFE" w:rsidRPr="004D5082" w:rsidRDefault="00931DFE" w:rsidP="00931DFE">
      <w:pPr>
        <w:jc w:val="center"/>
        <w:rPr>
          <w:sz w:val="28"/>
        </w:rPr>
      </w:pPr>
    </w:p>
    <w:p w14:paraId="102630A7" w14:textId="77777777" w:rsidR="00931DFE" w:rsidRPr="004D5082" w:rsidRDefault="00931DFE" w:rsidP="00931DFE">
      <w:pPr>
        <w:jc w:val="center"/>
        <w:rPr>
          <w:sz w:val="28"/>
        </w:rPr>
      </w:pPr>
    </w:p>
    <w:p w14:paraId="2425360F" w14:textId="77777777" w:rsidR="00931DFE" w:rsidRPr="004D5082" w:rsidRDefault="00931DFE" w:rsidP="00931DFE">
      <w:pPr>
        <w:jc w:val="center"/>
        <w:rPr>
          <w:sz w:val="28"/>
        </w:rPr>
      </w:pPr>
    </w:p>
    <w:p w14:paraId="4297AA8D" w14:textId="77777777" w:rsidR="00931DFE" w:rsidRPr="004D5082" w:rsidRDefault="00931DFE" w:rsidP="00931DFE">
      <w:pPr>
        <w:jc w:val="center"/>
        <w:rPr>
          <w:sz w:val="28"/>
        </w:rPr>
      </w:pPr>
    </w:p>
    <w:p w14:paraId="38CE8E6B" w14:textId="77777777" w:rsidR="00931DFE" w:rsidRPr="004D5082" w:rsidRDefault="00931DFE" w:rsidP="00931DFE">
      <w:pPr>
        <w:jc w:val="center"/>
        <w:rPr>
          <w:sz w:val="28"/>
        </w:rPr>
      </w:pPr>
    </w:p>
    <w:p w14:paraId="4F76B98A" w14:textId="77777777" w:rsidR="00931DFE" w:rsidRPr="004D5082" w:rsidRDefault="00931DFE" w:rsidP="00931DFE">
      <w:pPr>
        <w:jc w:val="center"/>
        <w:rPr>
          <w:sz w:val="28"/>
        </w:rPr>
      </w:pPr>
    </w:p>
    <w:p w14:paraId="68CF332F" w14:textId="59089CE1" w:rsidR="00931DFE" w:rsidRPr="004D5082" w:rsidRDefault="00931DFE" w:rsidP="00931DFE">
      <w:pPr>
        <w:jc w:val="center"/>
        <w:rPr>
          <w:sz w:val="28"/>
        </w:rPr>
      </w:pPr>
      <w:r w:rsidRPr="004D5082">
        <w:rPr>
          <w:sz w:val="28"/>
        </w:rPr>
        <w:t>Name: Zixin Wang</w:t>
      </w:r>
    </w:p>
    <w:p w14:paraId="7D3AEFA6" w14:textId="4DBD78C7" w:rsidR="00931DFE" w:rsidRPr="004D5082" w:rsidRDefault="00931DFE" w:rsidP="00931DFE">
      <w:pPr>
        <w:jc w:val="center"/>
        <w:rPr>
          <w:szCs w:val="22"/>
        </w:rPr>
      </w:pPr>
      <w:r w:rsidRPr="004D5082">
        <w:rPr>
          <w:sz w:val="28"/>
        </w:rPr>
        <w:t xml:space="preserve">Instructor: </w:t>
      </w:r>
      <w:r w:rsidRPr="004D5082">
        <w:rPr>
          <w:szCs w:val="22"/>
        </w:rPr>
        <w:t xml:space="preserve">Ling </w:t>
      </w:r>
      <w:proofErr w:type="spellStart"/>
      <w:r w:rsidRPr="004D5082">
        <w:rPr>
          <w:szCs w:val="22"/>
        </w:rPr>
        <w:t>Lisic</w:t>
      </w:r>
      <w:proofErr w:type="spellEnd"/>
    </w:p>
    <w:p w14:paraId="78CF3D63" w14:textId="16A8E566" w:rsidR="00931DFE" w:rsidRPr="004D5082" w:rsidRDefault="00931DFE" w:rsidP="00931DFE">
      <w:pPr>
        <w:jc w:val="center"/>
        <w:rPr>
          <w:sz w:val="28"/>
          <w:szCs w:val="22"/>
        </w:rPr>
      </w:pPr>
      <w:r w:rsidRPr="004D5082">
        <w:rPr>
          <w:sz w:val="28"/>
          <w:szCs w:val="22"/>
        </w:rPr>
        <w:t>G number: 01003298</w:t>
      </w:r>
    </w:p>
    <w:p w14:paraId="36A5EE04" w14:textId="74579571" w:rsidR="00931DFE" w:rsidRPr="004D5082" w:rsidRDefault="00931DFE" w:rsidP="00931DFE">
      <w:pPr>
        <w:rPr>
          <w:szCs w:val="22"/>
          <w:lang w:eastAsia="en-US"/>
        </w:rPr>
      </w:pPr>
      <w:r w:rsidRPr="004D5082">
        <w:rPr>
          <w:szCs w:val="22"/>
        </w:rPr>
        <w:br w:type="page"/>
      </w:r>
    </w:p>
    <w:p w14:paraId="51F3F7F6" w14:textId="26452E16" w:rsidR="009808D2" w:rsidRPr="004D5082" w:rsidRDefault="009808D2" w:rsidP="009808D2">
      <w:pPr>
        <w:spacing w:line="480" w:lineRule="auto"/>
        <w:rPr>
          <w:b/>
        </w:rPr>
      </w:pPr>
      <w:r w:rsidRPr="004D5082">
        <w:rPr>
          <w:b/>
        </w:rPr>
        <w:lastRenderedPageBreak/>
        <w:t>Introduction</w:t>
      </w:r>
    </w:p>
    <w:p w14:paraId="08573DDB" w14:textId="5251FBF4" w:rsidR="0084262A" w:rsidRPr="004D5082" w:rsidRDefault="001C2E3F" w:rsidP="0084262A">
      <w:pPr>
        <w:spacing w:line="480" w:lineRule="auto"/>
        <w:ind w:firstLineChars="200" w:firstLine="480"/>
      </w:pPr>
      <w:r w:rsidRPr="001C2E3F">
        <w:t>In this day and age, we are living in a highly developing world, and with the development many problems have come out to us, especially the economic issue. Finance plays an important role in our daily lives, and most things need currency to transact. Hence, it is easier to trigger a problem of people, company or market. There is a company, Enron Corporation, which was one of the world’s top energy companies. However, because of corruption and fraud, the company had to go into bankruptcy (</w:t>
      </w:r>
      <w:proofErr w:type="spellStart"/>
      <w:r w:rsidRPr="001C2E3F">
        <w:t>Vakkur</w:t>
      </w:r>
      <w:proofErr w:type="spellEnd"/>
      <w:r w:rsidRPr="001C2E3F">
        <w:t xml:space="preserve"> &amp; Herrera-</w:t>
      </w:r>
      <w:proofErr w:type="spellStart"/>
      <w:r w:rsidRPr="001C2E3F">
        <w:t>Vakkur</w:t>
      </w:r>
      <w:proofErr w:type="spellEnd"/>
      <w:r w:rsidRPr="001C2E3F">
        <w:t xml:space="preserve"> 2012). This incident not only led to related corporations paying the huge cost, but also had a strong impact on the American and British governments. In order to avert another mistake, the government would set up many acts to perfect management systems. There is an act which was promulgated in 2002 after the Enron event, the Sarbanes-Oxley Act, which is mainly about strengthening the supervision of internal accounting of enterprises, compulsory external audits, and increasing punishment levels for criminal fraud (Hoyle, Schaefer, &amp; </w:t>
      </w:r>
      <w:proofErr w:type="spellStart"/>
      <w:r w:rsidRPr="001C2E3F">
        <w:t>Doupnik</w:t>
      </w:r>
      <w:proofErr w:type="spellEnd"/>
      <w:r w:rsidRPr="001C2E3F">
        <w:t>, 2011). This act is one of the most far-reaching pieces of American reform. In the meantime, it also makes a great impact on corporation financial reporting.</w:t>
      </w:r>
    </w:p>
    <w:p w14:paraId="1F88D571" w14:textId="4364285A" w:rsidR="00555482" w:rsidRPr="004D5082" w:rsidRDefault="001C2E3F" w:rsidP="00931DFE">
      <w:pPr>
        <w:spacing w:line="480" w:lineRule="auto"/>
        <w:rPr>
          <w:b/>
        </w:rPr>
      </w:pPr>
      <w:r>
        <w:rPr>
          <w:b/>
        </w:rPr>
        <w:t>Impact</w:t>
      </w:r>
    </w:p>
    <w:p w14:paraId="63FE6A09" w14:textId="37CCA47C" w:rsidR="000374C1" w:rsidRDefault="00995B0D" w:rsidP="000374C1">
      <w:pPr>
        <w:spacing w:line="480" w:lineRule="auto"/>
        <w:ind w:firstLineChars="200" w:firstLine="480"/>
      </w:pPr>
      <w:r w:rsidRPr="00995B0D">
        <w:t>The SOX Act signally improves the reliability of financial reporting. As the stipulation of the Sarbanes-Oxley Act, the company is asked to provide the true financial report and annual report to the SEC (Griffin, 2005; Donaldson, 2005). Thus, the corporation would pay more attention to correct the error before the Act was set. For example, Griffin (2005) expounds that the company could find the old system has a loophole. To be up to the SOX Act standard, the company has to perfect their fundamental IT system and the process of internal governance. The company management becomes more efficient and consummate than before. As a result, these improving would lead the investor to have more dependable information which can impact the investment decision (Gibson, 2012). All of these would be a posit</w:t>
      </w:r>
      <w:r w:rsidR="002F212D">
        <w:t>ive impact on</w:t>
      </w:r>
      <w:r w:rsidRPr="00995B0D">
        <w:t xml:space="preserve"> the future development of the market. Although the SOX Act has many benefits for public or government, it also has a disadvantage for the corporation, that is the cost of financial reporting improvement is huge (Allison, 2003). It is obvious that the spend of building a new system or repairing a system is enormous. Furthermore, the corporation also needs to i</w:t>
      </w:r>
      <w:r w:rsidR="002F212D">
        <w:t>nvest the money and time to file</w:t>
      </w:r>
      <w:r w:rsidRPr="00995B0D">
        <w:t xml:space="preserve"> an annual report (Gibson, 2012). Therefore, in the long run, even though there is a problem about cost, the investment in the complete financial reporting system is worthy. It would not only improve the reliability of financial reporting, but also increase the reliance of investors which can attract more financial support.</w:t>
      </w:r>
    </w:p>
    <w:p w14:paraId="66C58443" w14:textId="5914375B" w:rsidR="000374C1" w:rsidRDefault="000374C1" w:rsidP="000374C1">
      <w:pPr>
        <w:spacing w:line="480" w:lineRule="auto"/>
        <w:ind w:firstLineChars="200" w:firstLine="480"/>
      </w:pPr>
      <w:r w:rsidRPr="000374C1">
        <w:t>The SOX Act increases</w:t>
      </w:r>
      <w:r w:rsidR="002F212D">
        <w:t xml:space="preserve"> the transparency</w:t>
      </w:r>
      <w:r w:rsidRPr="000374C1">
        <w:t xml:space="preserve"> of financial reporting for investors or the public. The reliability is the basis for the process of complete supervision. It</w:t>
      </w:r>
      <w:r w:rsidR="0087310C">
        <w:t xml:space="preserve"> is</w:t>
      </w:r>
      <w:r w:rsidRPr="000374C1">
        <w:t xml:space="preserve"> </w:t>
      </w:r>
      <w:r w:rsidR="0087310C">
        <w:t xml:space="preserve">a </w:t>
      </w:r>
      <w:r w:rsidRPr="000374C1">
        <w:t>more far-reaching effect that the Act request</w:t>
      </w:r>
      <w:r w:rsidR="002F212D">
        <w:t>s</w:t>
      </w:r>
      <w:r w:rsidRPr="000374C1">
        <w:t xml:space="preserve"> the company to enhance their financial report disclosure, such as off-balance sheet transactions, off-balance sheet transactions, material current events and internal management (Clark, 2012; Donaldson, 2005). These various of disclosures could cause the fraudulent activities decrease such as inflated stock prices, misused of capital reserves and changed in earnings management (Cohen &amp; </w:t>
      </w:r>
      <w:proofErr w:type="spellStart"/>
      <w:r w:rsidRPr="000374C1">
        <w:t>Dey</w:t>
      </w:r>
      <w:proofErr w:type="spellEnd"/>
      <w:r w:rsidRPr="000374C1">
        <w:t xml:space="preserve"> &amp; Lys, 2007; </w:t>
      </w:r>
      <w:proofErr w:type="spellStart"/>
      <w:r w:rsidRPr="000374C1">
        <w:t>Iliev</w:t>
      </w:r>
      <w:proofErr w:type="spellEnd"/>
      <w:r w:rsidRPr="000374C1">
        <w:t>, 2010). In addition, the supplementary information would raise the alertness of administrator, auditor</w:t>
      </w:r>
      <w:r w:rsidR="0087310C">
        <w:t>,</w:t>
      </w:r>
      <w:r w:rsidRPr="000374C1">
        <w:t xml:space="preserve"> and investor than before (Cohen &amp; </w:t>
      </w:r>
      <w:proofErr w:type="spellStart"/>
      <w:r w:rsidRPr="000374C1">
        <w:t>Dey</w:t>
      </w:r>
      <w:proofErr w:type="spellEnd"/>
      <w:r w:rsidRPr="000374C1">
        <w:t xml:space="preserve"> &amp; Lys, 2007). Whereas the transparency of financial reporting provides many advantages for the investor, there is a disadvantage for them too. Some corporations abide by SOX Act law, but they would keep these disclosures as a quiet restatement which is difficult for investors to find (</w:t>
      </w:r>
      <w:r w:rsidR="0087310C">
        <w:t>Burks, 2011). Hence, there is</w:t>
      </w:r>
      <w:r w:rsidRPr="000374C1">
        <w:t xml:space="preserve"> also much insufficient need to be completed</w:t>
      </w:r>
      <w:r w:rsidR="00DD49EE">
        <w:t xml:space="preserve"> in the future evolution</w:t>
      </w:r>
      <w:r w:rsidRPr="000374C1">
        <w:t>.</w:t>
      </w:r>
    </w:p>
    <w:p w14:paraId="402EC3C6" w14:textId="426FDA34" w:rsidR="00555482" w:rsidRPr="004D5082" w:rsidRDefault="00555482" w:rsidP="00931DFE">
      <w:pPr>
        <w:spacing w:line="480" w:lineRule="auto"/>
        <w:rPr>
          <w:b/>
        </w:rPr>
      </w:pPr>
      <w:r w:rsidRPr="004D5082">
        <w:rPr>
          <w:b/>
        </w:rPr>
        <w:t>Conclusion</w:t>
      </w:r>
    </w:p>
    <w:p w14:paraId="2D11DA3D" w14:textId="7901A1AF" w:rsidR="000374C1" w:rsidRPr="000374C1" w:rsidRDefault="000374C1" w:rsidP="000374C1">
      <w:pPr>
        <w:spacing w:line="480" w:lineRule="auto"/>
        <w:ind w:firstLineChars="200" w:firstLine="480"/>
      </w:pPr>
      <w:bookmarkStart w:id="3" w:name="OLE_LINK24"/>
      <w:r w:rsidRPr="000374C1">
        <w:t>As a general view, the Sarbanes-Oxley Act is successful for the capital market. In the meantime, it a</w:t>
      </w:r>
      <w:r w:rsidR="000B2874">
        <w:t>lso is a thruster for many Acts’</w:t>
      </w:r>
      <w:r w:rsidRPr="000374C1">
        <w:t xml:space="preserve"> establishing. The SOX Act not only makes the financial reporting becomes more credible, but also boosts the disclosure of financial reporting. Meanwhile, the SOX Act also improves the investor’s confidence with these public companies. Nevertheless, the system is not perfect now, we should continue to pay attention t</w:t>
      </w:r>
      <w:r w:rsidR="0087310C">
        <w:t>o enhancing</w:t>
      </w:r>
      <w:r w:rsidRPr="000374C1">
        <w:t xml:space="preserve"> it to avoid the cheat</w:t>
      </w:r>
      <w:r w:rsidR="0087310C">
        <w:t>ing</w:t>
      </w:r>
      <w:r w:rsidRPr="000374C1">
        <w:t xml:space="preserve"> activity happened. (</w:t>
      </w:r>
      <w:r w:rsidRPr="000374C1">
        <w:rPr>
          <w:i/>
        </w:rPr>
        <w:t>Words</w:t>
      </w:r>
      <w:r w:rsidRPr="000374C1">
        <w:t xml:space="preserve"> 700)</w:t>
      </w:r>
    </w:p>
    <w:bookmarkEnd w:id="3"/>
    <w:p w14:paraId="17477400" w14:textId="77777777" w:rsidR="00CA1704" w:rsidRPr="004D5082" w:rsidRDefault="00CA1704" w:rsidP="00931DFE">
      <w:pPr>
        <w:spacing w:line="480" w:lineRule="auto"/>
      </w:pPr>
    </w:p>
    <w:p w14:paraId="2BF27A3B" w14:textId="77777777" w:rsidR="00B633DD" w:rsidRDefault="00B633DD">
      <w:pPr>
        <w:rPr>
          <w:b/>
        </w:rPr>
      </w:pPr>
      <w:r>
        <w:rPr>
          <w:b/>
        </w:rPr>
        <w:br w:type="page"/>
      </w:r>
    </w:p>
    <w:p w14:paraId="79C83CB6" w14:textId="74278A53" w:rsidR="00A1267D" w:rsidRPr="004D5082" w:rsidRDefault="00A1267D" w:rsidP="00931DFE">
      <w:pPr>
        <w:spacing w:line="480" w:lineRule="auto"/>
        <w:rPr>
          <w:b/>
        </w:rPr>
      </w:pPr>
      <w:r w:rsidRPr="004D5082">
        <w:rPr>
          <w:b/>
        </w:rPr>
        <w:t>Reference list</w:t>
      </w:r>
    </w:p>
    <w:p w14:paraId="1D5C32C0" w14:textId="54327D58" w:rsidR="00A1267D" w:rsidRPr="004D5082" w:rsidRDefault="00A1267D" w:rsidP="00A1267D">
      <w:pPr>
        <w:ind w:left="480" w:hangingChars="200" w:hanging="480"/>
      </w:pPr>
      <w:bookmarkStart w:id="4" w:name="OLE_LINK39"/>
      <w:r w:rsidRPr="004D5082">
        <w:t>Griffin, J. (2005)</w:t>
      </w:r>
      <w:bookmarkEnd w:id="4"/>
      <w:r w:rsidRPr="004D5082">
        <w:t>.</w:t>
      </w:r>
      <w:bookmarkStart w:id="5" w:name="OLE_LINK44"/>
      <w:r w:rsidRPr="004D5082">
        <w:t xml:space="preserve"> Life after </w:t>
      </w:r>
      <w:proofErr w:type="spellStart"/>
      <w:r w:rsidRPr="004D5082">
        <w:t>sarbanes-oxley</w:t>
      </w:r>
      <w:proofErr w:type="spellEnd"/>
      <w:r w:rsidRPr="004D5082">
        <w:t xml:space="preserve"> compliance</w:t>
      </w:r>
      <w:bookmarkEnd w:id="5"/>
      <w:r w:rsidRPr="004D5082">
        <w:t>.</w:t>
      </w:r>
      <w:r w:rsidRPr="004D5082">
        <w:rPr>
          <w:i/>
          <w:iCs/>
        </w:rPr>
        <w:t> DM Review, 15</w:t>
      </w:r>
      <w:r w:rsidRPr="004D5082">
        <w:t xml:space="preserve">(3), 10. </w:t>
      </w:r>
      <w:bookmarkStart w:id="6" w:name="OLE_LINK46"/>
      <w:bookmarkStart w:id="7" w:name="OLE_LINK47"/>
      <w:r w:rsidRPr="004D5082">
        <w:t>Retrieved from</w:t>
      </w:r>
      <w:bookmarkEnd w:id="6"/>
      <w:bookmarkEnd w:id="7"/>
      <w:r w:rsidRPr="004D5082">
        <w:t xml:space="preserve"> </w:t>
      </w:r>
      <w:hyperlink r:id="rId7" w:history="1">
        <w:r w:rsidRPr="004D5082">
          <w:rPr>
            <w:rStyle w:val="a4"/>
          </w:rPr>
          <w:t>http://search.proquest.com.mutex.gmu.edu/docview/214673906?accountid=14541</w:t>
        </w:r>
      </w:hyperlink>
    </w:p>
    <w:p w14:paraId="2301991A" w14:textId="074D3BA6" w:rsidR="00A1267D" w:rsidRPr="004D5082" w:rsidRDefault="00A1267D" w:rsidP="00A1267D">
      <w:pPr>
        <w:ind w:left="480" w:hangingChars="200" w:hanging="480"/>
      </w:pPr>
      <w:bookmarkStart w:id="8" w:name="OLE_LINK40"/>
      <w:bookmarkStart w:id="9" w:name="OLE_LINK41"/>
      <w:proofErr w:type="spellStart"/>
      <w:r w:rsidRPr="004D5082">
        <w:t>Vakkur</w:t>
      </w:r>
      <w:proofErr w:type="spellEnd"/>
      <w:r w:rsidRPr="004D5082">
        <w:t>, N. V., &amp; Herrera-</w:t>
      </w:r>
      <w:proofErr w:type="spellStart"/>
      <w:r w:rsidRPr="004D5082">
        <w:t>Vakkur</w:t>
      </w:r>
      <w:proofErr w:type="spellEnd"/>
      <w:r w:rsidRPr="004D5082">
        <w:t>, Z. (2012)</w:t>
      </w:r>
      <w:bookmarkEnd w:id="8"/>
      <w:bookmarkEnd w:id="9"/>
      <w:r w:rsidRPr="004D5082">
        <w:t xml:space="preserve">. Ripple effects: Sarbanes </w:t>
      </w:r>
      <w:proofErr w:type="spellStart"/>
      <w:r w:rsidRPr="004D5082">
        <w:t>oxley's</w:t>
      </w:r>
      <w:proofErr w:type="spellEnd"/>
      <w:r w:rsidRPr="004D5082">
        <w:t xml:space="preserve"> impact upon investor risk in a global economy.</w:t>
      </w:r>
      <w:r w:rsidRPr="004D5082">
        <w:rPr>
          <w:i/>
          <w:iCs/>
        </w:rPr>
        <w:t> Review of Accounting &amp; Finance, 11</w:t>
      </w:r>
      <w:r w:rsidRPr="004D5082">
        <w:t xml:space="preserve">(2), 184-205. </w:t>
      </w:r>
      <w:proofErr w:type="spellStart"/>
      <w:r w:rsidRPr="004D5082">
        <w:t>doi:http</w:t>
      </w:r>
      <w:proofErr w:type="spellEnd"/>
      <w:r w:rsidRPr="004D5082">
        <w:t>://dx.doi.org.mutex.gmu.edu/10.1108/14757701211228219</w:t>
      </w:r>
    </w:p>
    <w:p w14:paraId="704076E8" w14:textId="395A988B" w:rsidR="008F7E6E" w:rsidRPr="004D5082" w:rsidRDefault="008F7E6E" w:rsidP="008F7E6E">
      <w:pPr>
        <w:ind w:left="480" w:hangingChars="200" w:hanging="480"/>
        <w:rPr>
          <w:rFonts w:eastAsia="Times New Roman"/>
          <w:iCs/>
          <w:color w:val="454545"/>
          <w:shd w:val="clear" w:color="auto" w:fill="FFFFFF"/>
        </w:rPr>
      </w:pPr>
      <w:r w:rsidRPr="004D5082">
        <w:rPr>
          <w:bCs/>
        </w:rPr>
        <w:t xml:space="preserve">Donaldson, </w:t>
      </w:r>
      <w:r w:rsidR="00F7749A">
        <w:rPr>
          <w:bCs/>
        </w:rPr>
        <w:t>W. H</w:t>
      </w:r>
      <w:r w:rsidRPr="004D5082">
        <w:rPr>
          <w:bCs/>
        </w:rPr>
        <w:t xml:space="preserve">. (2005). Testimony Concerning the Impact of the Sarbanes-Oxley Act. </w:t>
      </w:r>
      <w:r w:rsidRPr="004D5082">
        <w:rPr>
          <w:i/>
          <w:iCs/>
        </w:rPr>
        <w:t xml:space="preserve">U.S. Securities and Exchange Commission. </w:t>
      </w:r>
      <w:r w:rsidRPr="004D5082">
        <w:t xml:space="preserve">Retrieved from </w:t>
      </w:r>
      <w:hyperlink r:id="rId8" w:history="1">
        <w:r w:rsidRPr="004D5082">
          <w:rPr>
            <w:rStyle w:val="a4"/>
            <w:rFonts w:eastAsia="Times New Roman"/>
            <w:iCs/>
            <w:shd w:val="clear" w:color="auto" w:fill="FFFFFF"/>
          </w:rPr>
          <w:t>http://www.sec.gov/news/testimony/ts042105whd.htm</w:t>
        </w:r>
      </w:hyperlink>
    </w:p>
    <w:p w14:paraId="6584EEE1" w14:textId="53F638E6" w:rsidR="00A00F5D" w:rsidRPr="004D5082" w:rsidRDefault="00A00F5D" w:rsidP="00A00F5D">
      <w:pPr>
        <w:ind w:left="480" w:hangingChars="200" w:hanging="480"/>
        <w:rPr>
          <w:rFonts w:eastAsia="Times New Roman"/>
          <w:i/>
        </w:rPr>
      </w:pPr>
      <w:r w:rsidRPr="004D5082">
        <w:rPr>
          <w:rFonts w:eastAsia="Times New Roman"/>
        </w:rPr>
        <w:t>Hoyle,</w:t>
      </w:r>
      <w:r w:rsidR="004D5082" w:rsidRPr="004D5082">
        <w:rPr>
          <w:rFonts w:eastAsia="Times New Roman"/>
        </w:rPr>
        <w:t xml:space="preserve"> B.</w:t>
      </w:r>
      <w:r w:rsidRPr="004D5082">
        <w:rPr>
          <w:rFonts w:eastAsia="Times New Roman"/>
        </w:rPr>
        <w:t xml:space="preserve"> J.,</w:t>
      </w:r>
      <w:r w:rsidR="004F7A14">
        <w:rPr>
          <w:rFonts w:eastAsia="Times New Roman"/>
        </w:rPr>
        <w:t xml:space="preserve"> &amp;</w:t>
      </w:r>
      <w:r w:rsidRPr="004D5082">
        <w:rPr>
          <w:rFonts w:eastAsia="Times New Roman"/>
        </w:rPr>
        <w:t xml:space="preserve"> Schaefer, T. F., &amp; </w:t>
      </w:r>
      <w:proofErr w:type="spellStart"/>
      <w:r w:rsidRPr="004D5082">
        <w:rPr>
          <w:rFonts w:eastAsia="Times New Roman"/>
        </w:rPr>
        <w:t>Doupnik</w:t>
      </w:r>
      <w:proofErr w:type="spellEnd"/>
      <w:r w:rsidRPr="004D5082">
        <w:rPr>
          <w:rFonts w:eastAsia="Times New Roman"/>
        </w:rPr>
        <w:t xml:space="preserve">, T. S. (2011). Advanced accounting (10th ed.). </w:t>
      </w:r>
      <w:r w:rsidRPr="004D5082">
        <w:rPr>
          <w:rFonts w:eastAsia="Times New Roman"/>
          <w:i/>
        </w:rPr>
        <w:t xml:space="preserve">New York: McGraw-Hill Irwin. </w:t>
      </w:r>
    </w:p>
    <w:p w14:paraId="0C30907C" w14:textId="79CC99C0" w:rsidR="004D5082" w:rsidRPr="004D5082" w:rsidRDefault="004D5082" w:rsidP="004D5082">
      <w:pPr>
        <w:rPr>
          <w:rFonts w:eastAsia="Times New Roman"/>
          <w:color w:val="000000"/>
          <w:shd w:val="clear" w:color="auto" w:fill="FFFFFF"/>
        </w:rPr>
      </w:pPr>
      <w:r w:rsidRPr="004D5082">
        <w:t xml:space="preserve">Gibson, C. H. (2012). </w:t>
      </w:r>
      <w:r w:rsidRPr="004D5082">
        <w:rPr>
          <w:rFonts w:eastAsia="Times New Roman"/>
          <w:color w:val="000000"/>
          <w:shd w:val="clear" w:color="auto" w:fill="FFFFFF"/>
        </w:rPr>
        <w:t>Financial Reporting and Analysis.</w:t>
      </w:r>
      <w:r w:rsidRPr="004D5082">
        <w:rPr>
          <w:rFonts w:eastAsia="Times New Roman"/>
          <w:i/>
          <w:color w:val="000000"/>
          <w:shd w:val="clear" w:color="auto" w:fill="FFFFFF"/>
        </w:rPr>
        <w:t xml:space="preserve"> </w:t>
      </w:r>
      <w:r w:rsidRPr="004D5082">
        <w:rPr>
          <w:i/>
          <w:iCs/>
        </w:rPr>
        <w:t>Cengage Learning</w:t>
      </w:r>
      <w:r w:rsidRPr="004D5082">
        <w:rPr>
          <w:rFonts w:eastAsia="Times New Roman"/>
          <w:i/>
          <w:color w:val="000000"/>
          <w:shd w:val="clear" w:color="auto" w:fill="FFFFFF"/>
        </w:rPr>
        <w:t>.</w:t>
      </w:r>
      <w:r w:rsidRPr="004D5082">
        <w:rPr>
          <w:rFonts w:eastAsia="Times New Roman"/>
          <w:color w:val="000000"/>
          <w:shd w:val="clear" w:color="auto" w:fill="FFFFFF"/>
        </w:rPr>
        <w:t xml:space="preserve"> </w:t>
      </w:r>
    </w:p>
    <w:p w14:paraId="49AC2CBA" w14:textId="4C70AC6D" w:rsidR="00EA4FFC" w:rsidRPr="00EA4FFC" w:rsidRDefault="00EA4FFC" w:rsidP="00EA4FFC">
      <w:pPr>
        <w:ind w:left="480" w:hangingChars="200" w:hanging="480"/>
        <w:rPr>
          <w:rFonts w:eastAsia="Times New Roman"/>
        </w:rPr>
      </w:pPr>
      <w:bookmarkStart w:id="10" w:name="OLE_LINK5"/>
      <w:bookmarkStart w:id="11" w:name="OLE_LINK6"/>
      <w:r>
        <w:rPr>
          <w:rFonts w:eastAsia="Times New Roman"/>
        </w:rPr>
        <w:t>Cohen, D.</w:t>
      </w:r>
      <w:r w:rsidRPr="00EA4FFC">
        <w:rPr>
          <w:rFonts w:eastAsia="Times New Roman"/>
        </w:rPr>
        <w:t xml:space="preserve"> A.</w:t>
      </w:r>
      <w:r w:rsidR="004F7A14">
        <w:rPr>
          <w:rFonts w:eastAsia="Times New Roman"/>
        </w:rPr>
        <w:t>,</w:t>
      </w:r>
      <w:r w:rsidRPr="00EA4FFC">
        <w:rPr>
          <w:rFonts w:eastAsia="Times New Roman"/>
        </w:rPr>
        <w:t xml:space="preserve"> </w:t>
      </w:r>
      <w:r>
        <w:rPr>
          <w:rFonts w:eastAsia="Times New Roman"/>
        </w:rPr>
        <w:t>&amp;</w:t>
      </w:r>
      <w:r w:rsidRPr="00EA4FFC">
        <w:rPr>
          <w:rFonts w:eastAsia="Times New Roman"/>
        </w:rPr>
        <w:t xml:space="preserve"> </w:t>
      </w:r>
      <w:proofErr w:type="spellStart"/>
      <w:r w:rsidRPr="00EA4FFC">
        <w:rPr>
          <w:rFonts w:eastAsia="Times New Roman"/>
        </w:rPr>
        <w:t>Dey</w:t>
      </w:r>
      <w:proofErr w:type="spellEnd"/>
      <w:r w:rsidRPr="00EA4FFC">
        <w:rPr>
          <w:rFonts w:eastAsia="Times New Roman"/>
        </w:rPr>
        <w:t>, A</w:t>
      </w:r>
      <w:r>
        <w:rPr>
          <w:rFonts w:eastAsia="Times New Roman"/>
        </w:rPr>
        <w:t>.</w:t>
      </w:r>
      <w:r w:rsidR="004F7A14">
        <w:rPr>
          <w:rFonts w:eastAsia="Times New Roman"/>
        </w:rPr>
        <w:t>,</w:t>
      </w:r>
      <w:r w:rsidRPr="00EA4FFC">
        <w:rPr>
          <w:rFonts w:eastAsia="Times New Roman"/>
        </w:rPr>
        <w:t xml:space="preserve"> </w:t>
      </w:r>
      <w:r>
        <w:rPr>
          <w:rFonts w:eastAsia="Times New Roman"/>
        </w:rPr>
        <w:t>&amp;</w:t>
      </w:r>
      <w:r w:rsidRPr="00EA4FFC">
        <w:rPr>
          <w:rFonts w:eastAsia="Times New Roman"/>
        </w:rPr>
        <w:t xml:space="preserve"> Lys, T</w:t>
      </w:r>
      <w:r>
        <w:rPr>
          <w:rFonts w:eastAsia="Times New Roman"/>
        </w:rPr>
        <w:t>. Z. (2007)</w:t>
      </w:r>
      <w:bookmarkEnd w:id="10"/>
      <w:bookmarkEnd w:id="11"/>
      <w:r>
        <w:rPr>
          <w:rFonts w:eastAsia="Times New Roman"/>
        </w:rPr>
        <w:t>.</w:t>
      </w:r>
      <w:r w:rsidRPr="00EA4FFC">
        <w:rPr>
          <w:rFonts w:eastAsia="Times New Roman"/>
        </w:rPr>
        <w:t xml:space="preserve"> </w:t>
      </w:r>
      <w:bookmarkStart w:id="12" w:name="OLE_LINK7"/>
      <w:bookmarkStart w:id="13" w:name="OLE_LINK8"/>
      <w:r w:rsidRPr="00EA4FFC">
        <w:rPr>
          <w:rFonts w:eastAsia="Times New Roman"/>
        </w:rPr>
        <w:t>Real and Accrual-Based Earnings Management in the Pre- and Post-Sarbanes Oxley Periods.</w:t>
      </w:r>
      <w:bookmarkEnd w:id="12"/>
      <w:bookmarkEnd w:id="13"/>
      <w:r w:rsidRPr="00EA4FFC">
        <w:rPr>
          <w:rFonts w:eastAsia="Times New Roman"/>
        </w:rPr>
        <w:t xml:space="preserve"> </w:t>
      </w:r>
      <w:r w:rsidRPr="00EA4FFC">
        <w:rPr>
          <w:rFonts w:eastAsia="Times New Roman"/>
          <w:i/>
        </w:rPr>
        <w:t>AAA 2006 Financial Accounting and Reporting Section (FARS)</w:t>
      </w:r>
      <w:r w:rsidRPr="00EA4FFC">
        <w:rPr>
          <w:rFonts w:eastAsia="Times New Roman"/>
        </w:rPr>
        <w:t xml:space="preserve"> Meeting Paper.</w:t>
      </w:r>
    </w:p>
    <w:p w14:paraId="0DB65D9C" w14:textId="12771DD9" w:rsidR="00ED47CB" w:rsidRPr="00ED47CB" w:rsidRDefault="00ED47CB" w:rsidP="00F7749A">
      <w:pPr>
        <w:ind w:left="480" w:hangingChars="200" w:hanging="480"/>
        <w:rPr>
          <w:rFonts w:eastAsia="Times New Roman"/>
        </w:rPr>
      </w:pPr>
      <w:bookmarkStart w:id="14" w:name="OLE_LINK9"/>
      <w:bookmarkStart w:id="15" w:name="OLE_LINK10"/>
      <w:r w:rsidRPr="00F7749A">
        <w:rPr>
          <w:rFonts w:eastAsia="Times New Roman"/>
        </w:rPr>
        <w:t>Allison, F. (2003</w:t>
      </w:r>
      <w:r w:rsidR="00B26F38">
        <w:rPr>
          <w:rFonts w:eastAsia="Times New Roman"/>
        </w:rPr>
        <w:t>)</w:t>
      </w:r>
      <w:bookmarkEnd w:id="14"/>
      <w:bookmarkEnd w:id="15"/>
      <w:r w:rsidR="00B26F38">
        <w:rPr>
          <w:rFonts w:eastAsia="Times New Roman"/>
        </w:rPr>
        <w:t>. One Year Later, The Impact o</w:t>
      </w:r>
      <w:r w:rsidRPr="00F7749A">
        <w:rPr>
          <w:rFonts w:eastAsia="Times New Roman"/>
        </w:rPr>
        <w:t>f Sarbanes-Oxley. Retrieved from http://www.forbes.com/2003/07/22/cz_af_0722sarbanes.html</w:t>
      </w:r>
    </w:p>
    <w:p w14:paraId="6C2ACDA5" w14:textId="77777777" w:rsidR="00522138" w:rsidRPr="00522138" w:rsidRDefault="00522138" w:rsidP="00522138">
      <w:pPr>
        <w:ind w:left="480" w:hangingChars="200" w:hanging="480"/>
        <w:rPr>
          <w:bCs/>
        </w:rPr>
      </w:pPr>
      <w:proofErr w:type="spellStart"/>
      <w:r w:rsidRPr="00522138">
        <w:rPr>
          <w:bCs/>
        </w:rPr>
        <w:t>Ugrin</w:t>
      </w:r>
      <w:proofErr w:type="spellEnd"/>
      <w:r w:rsidRPr="00522138">
        <w:rPr>
          <w:bCs/>
        </w:rPr>
        <w:t>, J. C., &amp; Odom, M. D. (2010). Exploring Sarbanes–Oxley’s effect on attitudes, perceptions of norms, and intentions to commit financial statement fraud from a general deterrence perspective.</w:t>
      </w:r>
      <w:r w:rsidRPr="00522138">
        <w:rPr>
          <w:i/>
        </w:rPr>
        <w:t> </w:t>
      </w:r>
      <w:r w:rsidRPr="00522138">
        <w:rPr>
          <w:bCs/>
          <w:i/>
        </w:rPr>
        <w:t>Journal of Accounting and Public Policy,</w:t>
      </w:r>
      <w:r w:rsidRPr="00522138">
        <w:t> </w:t>
      </w:r>
      <w:r w:rsidRPr="00522138">
        <w:rPr>
          <w:bCs/>
        </w:rPr>
        <w:t>29(5), 439-458.</w:t>
      </w:r>
    </w:p>
    <w:p w14:paraId="78704845" w14:textId="464C6B75" w:rsidR="00D4617B" w:rsidRPr="00D4617B" w:rsidRDefault="00D4617B" w:rsidP="00D4617B">
      <w:pPr>
        <w:ind w:left="480" w:hangingChars="200" w:hanging="480"/>
        <w:rPr>
          <w:rFonts w:eastAsia="Times New Roman"/>
        </w:rPr>
      </w:pPr>
      <w:r w:rsidRPr="00D4617B">
        <w:rPr>
          <w:rFonts w:eastAsia="Times New Roman"/>
        </w:rPr>
        <w:t>Clark, K. N. (2012). The Effects of Sarbanes Oxley on Current Financi</w:t>
      </w:r>
      <w:r>
        <w:rPr>
          <w:rFonts w:eastAsia="Times New Roman"/>
        </w:rPr>
        <w:t>al.</w:t>
      </w:r>
      <w:r w:rsidRPr="00D4617B">
        <w:rPr>
          <w:rFonts w:eastAsia="Times New Roman"/>
        </w:rPr>
        <w:t xml:space="preserve"> Retrieved from http://digitalcommons.liberty.edu/cgi/viewcontent.cgi?article=1303&amp;context=honors</w:t>
      </w:r>
    </w:p>
    <w:p w14:paraId="62B1CEF8" w14:textId="03081338" w:rsidR="00663C9A" w:rsidRPr="00663C9A" w:rsidRDefault="00663C9A" w:rsidP="00663C9A">
      <w:pPr>
        <w:ind w:left="480" w:hangingChars="200" w:hanging="480"/>
        <w:rPr>
          <w:bCs/>
        </w:rPr>
      </w:pPr>
      <w:proofErr w:type="spellStart"/>
      <w:r w:rsidRPr="00663C9A">
        <w:rPr>
          <w:bCs/>
        </w:rPr>
        <w:t>Iliev</w:t>
      </w:r>
      <w:proofErr w:type="spellEnd"/>
      <w:r w:rsidRPr="00663C9A">
        <w:rPr>
          <w:bCs/>
        </w:rPr>
        <w:t>, P. (2010). The Effect of SOX Section 404: Costs, Earnings Quality, and Stock Prices. </w:t>
      </w:r>
      <w:r>
        <w:rPr>
          <w:bCs/>
          <w:i/>
        </w:rPr>
        <w:t>Journal o</w:t>
      </w:r>
      <w:r w:rsidRPr="00663C9A">
        <w:rPr>
          <w:bCs/>
          <w:i/>
        </w:rPr>
        <w:t>f Finance</w:t>
      </w:r>
      <w:r w:rsidRPr="00663C9A">
        <w:rPr>
          <w:bCs/>
        </w:rPr>
        <w:t>, 65(3), 1163-1196.</w:t>
      </w:r>
    </w:p>
    <w:p w14:paraId="46680DC6" w14:textId="243CDCB1" w:rsidR="00A1267D" w:rsidRPr="00F31700" w:rsidRDefault="00571CBE" w:rsidP="00F31700">
      <w:pPr>
        <w:ind w:left="480" w:hangingChars="200" w:hanging="480"/>
        <w:rPr>
          <w:rFonts w:eastAsia="Times New Roman"/>
        </w:rPr>
      </w:pPr>
      <w:r w:rsidRPr="00571CBE">
        <w:rPr>
          <w:rFonts w:eastAsia="Times New Roman"/>
        </w:rPr>
        <w:t>Burks, J. </w:t>
      </w:r>
      <w:r>
        <w:rPr>
          <w:rFonts w:eastAsia="Times New Roman"/>
        </w:rPr>
        <w:t xml:space="preserve">(2011). </w:t>
      </w:r>
      <w:r w:rsidRPr="00571CBE">
        <w:rPr>
          <w:rFonts w:eastAsia="Times New Roman"/>
        </w:rPr>
        <w:t>Are Investors Confused by Res</w:t>
      </w:r>
      <w:r>
        <w:rPr>
          <w:rFonts w:eastAsia="Times New Roman"/>
        </w:rPr>
        <w:t>tatements after Sarbanes-Oxley?</w:t>
      </w:r>
      <w:r w:rsidRPr="00571CBE">
        <w:rPr>
          <w:rFonts w:eastAsia="Times New Roman"/>
        </w:rPr>
        <w:t> </w:t>
      </w:r>
      <w:r w:rsidRPr="00571CBE">
        <w:rPr>
          <w:rFonts w:eastAsia="Times New Roman"/>
          <w:i/>
        </w:rPr>
        <w:t>The Accounting review.</w:t>
      </w:r>
      <w:r w:rsidRPr="00571CBE">
        <w:rPr>
          <w:rFonts w:eastAsia="Times New Roman"/>
        </w:rPr>
        <w:t> 86 (2), p. 507 - 539. </w:t>
      </w:r>
    </w:p>
    <w:sectPr w:rsidR="00A1267D" w:rsidRPr="00F31700" w:rsidSect="0051173D">
      <w:footerReference w:type="even" r:id="rId9"/>
      <w:footerReference w:type="default" r:id="rId10"/>
      <w:pgSz w:w="12240" w:h="15840"/>
      <w:pgMar w:top="1440" w:right="1440" w:bottom="1440" w:left="1440" w:header="720" w:footer="720" w:gutter="0"/>
      <w:pgNumType w:fmt="numberInDash"/>
      <w:cols w:space="720"/>
      <w:titlePg/>
      <w:docGrid w:type="lines"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27918" w14:textId="77777777" w:rsidR="00064D89" w:rsidRDefault="00064D89" w:rsidP="00722838">
      <w:r>
        <w:separator/>
      </w:r>
    </w:p>
  </w:endnote>
  <w:endnote w:type="continuationSeparator" w:id="0">
    <w:p w14:paraId="2C9E6311" w14:textId="77777777" w:rsidR="00064D89" w:rsidRDefault="00064D89" w:rsidP="00722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DengXian">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Times">
    <w:panose1 w:val="02000500000000000000"/>
    <w:charset w:val="00"/>
    <w:family w:val="auto"/>
    <w:pitch w:val="variable"/>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9FE6A" w14:textId="77777777" w:rsidR="0051173D" w:rsidRDefault="0051173D" w:rsidP="003B4F43">
    <w:pPr>
      <w:pStyle w:val="a7"/>
      <w:framePr w:wrap="none"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A218FE4" w14:textId="77777777" w:rsidR="0051173D" w:rsidRDefault="0051173D">
    <w:pPr>
      <w:pStyle w:val="a7"/>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1DC31" w14:textId="77777777" w:rsidR="0051173D" w:rsidRDefault="0051173D" w:rsidP="003B4F43">
    <w:pPr>
      <w:pStyle w:val="a7"/>
      <w:framePr w:wrap="none"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35500">
      <w:rPr>
        <w:rStyle w:val="a9"/>
        <w:noProof/>
      </w:rPr>
      <w:t>- 2 -</w:t>
    </w:r>
    <w:r>
      <w:rPr>
        <w:rStyle w:val="a9"/>
      </w:rPr>
      <w:fldChar w:fldCharType="end"/>
    </w:r>
  </w:p>
  <w:p w14:paraId="22E77B4C" w14:textId="77777777" w:rsidR="0051173D" w:rsidRDefault="0051173D">
    <w:pPr>
      <w:pStyle w:val="a7"/>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D0BB2" w14:textId="77777777" w:rsidR="00064D89" w:rsidRDefault="00064D89" w:rsidP="00722838">
      <w:r>
        <w:separator/>
      </w:r>
    </w:p>
  </w:footnote>
  <w:footnote w:type="continuationSeparator" w:id="0">
    <w:p w14:paraId="745F7CC3" w14:textId="77777777" w:rsidR="00064D89" w:rsidRDefault="00064D89" w:rsidP="0072283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A6442B"/>
    <w:multiLevelType w:val="hybridMultilevel"/>
    <w:tmpl w:val="CAD4E52A"/>
    <w:lvl w:ilvl="0" w:tplc="44A6F392">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4C1D2E2D"/>
    <w:multiLevelType w:val="hybridMultilevel"/>
    <w:tmpl w:val="CDEC6D42"/>
    <w:lvl w:ilvl="0" w:tplc="6A3851BA">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4FAE02BC"/>
    <w:multiLevelType w:val="hybridMultilevel"/>
    <w:tmpl w:val="BC267E72"/>
    <w:lvl w:ilvl="0" w:tplc="684A3D00">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482"/>
    <w:rsid w:val="000050BF"/>
    <w:rsid w:val="000374C1"/>
    <w:rsid w:val="00064D89"/>
    <w:rsid w:val="00093B67"/>
    <w:rsid w:val="000A29C3"/>
    <w:rsid w:val="000B2874"/>
    <w:rsid w:val="000D373E"/>
    <w:rsid w:val="000E1E3A"/>
    <w:rsid w:val="001116E3"/>
    <w:rsid w:val="00114177"/>
    <w:rsid w:val="0014431F"/>
    <w:rsid w:val="001935C0"/>
    <w:rsid w:val="001A6F40"/>
    <w:rsid w:val="001C2E3F"/>
    <w:rsid w:val="001E3A8F"/>
    <w:rsid w:val="002375AD"/>
    <w:rsid w:val="0023785C"/>
    <w:rsid w:val="00243580"/>
    <w:rsid w:val="002A28BA"/>
    <w:rsid w:val="002F212D"/>
    <w:rsid w:val="002F3CF7"/>
    <w:rsid w:val="00361BAB"/>
    <w:rsid w:val="00381BAF"/>
    <w:rsid w:val="003D5951"/>
    <w:rsid w:val="003E1165"/>
    <w:rsid w:val="00406BA7"/>
    <w:rsid w:val="00441D4E"/>
    <w:rsid w:val="00464727"/>
    <w:rsid w:val="00476770"/>
    <w:rsid w:val="004770A0"/>
    <w:rsid w:val="004D5082"/>
    <w:rsid w:val="004E7409"/>
    <w:rsid w:val="004F178A"/>
    <w:rsid w:val="004F7A14"/>
    <w:rsid w:val="0051173D"/>
    <w:rsid w:val="00522138"/>
    <w:rsid w:val="00532094"/>
    <w:rsid w:val="00536553"/>
    <w:rsid w:val="00555482"/>
    <w:rsid w:val="005556EA"/>
    <w:rsid w:val="00564874"/>
    <w:rsid w:val="00571CBE"/>
    <w:rsid w:val="00581AF9"/>
    <w:rsid w:val="006371C6"/>
    <w:rsid w:val="00663C9A"/>
    <w:rsid w:val="006A1450"/>
    <w:rsid w:val="00722838"/>
    <w:rsid w:val="0078520F"/>
    <w:rsid w:val="0079556E"/>
    <w:rsid w:val="007B2771"/>
    <w:rsid w:val="007C7DE0"/>
    <w:rsid w:val="007F0705"/>
    <w:rsid w:val="007F7B39"/>
    <w:rsid w:val="00815BF1"/>
    <w:rsid w:val="0084262A"/>
    <w:rsid w:val="0087310C"/>
    <w:rsid w:val="0087579C"/>
    <w:rsid w:val="008A481D"/>
    <w:rsid w:val="008F7E6E"/>
    <w:rsid w:val="00906F5A"/>
    <w:rsid w:val="00926D51"/>
    <w:rsid w:val="00931DFE"/>
    <w:rsid w:val="0098035B"/>
    <w:rsid w:val="009808D2"/>
    <w:rsid w:val="00995B0D"/>
    <w:rsid w:val="009E0C0C"/>
    <w:rsid w:val="009E6E2F"/>
    <w:rsid w:val="00A00F5D"/>
    <w:rsid w:val="00A02088"/>
    <w:rsid w:val="00A07D24"/>
    <w:rsid w:val="00A1267D"/>
    <w:rsid w:val="00A43A4D"/>
    <w:rsid w:val="00A86F7D"/>
    <w:rsid w:val="00B003CF"/>
    <w:rsid w:val="00B26F38"/>
    <w:rsid w:val="00B633DD"/>
    <w:rsid w:val="00BA05A3"/>
    <w:rsid w:val="00BA7AB2"/>
    <w:rsid w:val="00BA7AF8"/>
    <w:rsid w:val="00BF6A35"/>
    <w:rsid w:val="00C35500"/>
    <w:rsid w:val="00CA1704"/>
    <w:rsid w:val="00CB4724"/>
    <w:rsid w:val="00D4617B"/>
    <w:rsid w:val="00D532A3"/>
    <w:rsid w:val="00D705F7"/>
    <w:rsid w:val="00DA16E1"/>
    <w:rsid w:val="00DA5B57"/>
    <w:rsid w:val="00DD49EE"/>
    <w:rsid w:val="00DE2AE8"/>
    <w:rsid w:val="00E16A11"/>
    <w:rsid w:val="00E531C3"/>
    <w:rsid w:val="00E538F8"/>
    <w:rsid w:val="00E8403A"/>
    <w:rsid w:val="00EA4FFC"/>
    <w:rsid w:val="00ED47CB"/>
    <w:rsid w:val="00EE4D5C"/>
    <w:rsid w:val="00F00FFB"/>
    <w:rsid w:val="00F1100F"/>
    <w:rsid w:val="00F15491"/>
    <w:rsid w:val="00F259B3"/>
    <w:rsid w:val="00F31700"/>
    <w:rsid w:val="00F325EF"/>
    <w:rsid w:val="00F531AF"/>
    <w:rsid w:val="00F604AF"/>
    <w:rsid w:val="00F7749A"/>
    <w:rsid w:val="00FA043B"/>
    <w:rsid w:val="00FE6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8510BD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CBE"/>
    <w:rPr>
      <w:rFonts w:ascii="Times New Roman" w:hAnsi="Times New Roman" w:cs="Times New Roman"/>
      <w:kern w:val="0"/>
      <w:lang w:eastAsia="zh-CN"/>
    </w:rPr>
  </w:style>
  <w:style w:type="paragraph" w:styleId="1">
    <w:name w:val="heading 1"/>
    <w:basedOn w:val="a"/>
    <w:next w:val="a"/>
    <w:link w:val="10"/>
    <w:uiPriority w:val="9"/>
    <w:qFormat/>
    <w:rsid w:val="008F7E6E"/>
    <w:pPr>
      <w:keepNext/>
      <w:keepLines/>
      <w:spacing w:before="340" w:after="330" w:line="578" w:lineRule="auto"/>
      <w:outlineLvl w:val="0"/>
    </w:pPr>
    <w:rPr>
      <w:b/>
      <w:bCs/>
      <w:kern w:val="44"/>
      <w:sz w:val="44"/>
      <w:szCs w:val="44"/>
    </w:rPr>
  </w:style>
  <w:style w:type="paragraph" w:styleId="4">
    <w:name w:val="heading 4"/>
    <w:basedOn w:val="a"/>
    <w:next w:val="a"/>
    <w:link w:val="40"/>
    <w:uiPriority w:val="9"/>
    <w:semiHidden/>
    <w:unhideWhenUsed/>
    <w:qFormat/>
    <w:rsid w:val="008F7E6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482"/>
    <w:pPr>
      <w:widowControl w:val="0"/>
      <w:ind w:firstLineChars="200" w:firstLine="420"/>
      <w:jc w:val="both"/>
    </w:pPr>
    <w:rPr>
      <w:rFonts w:asciiTheme="minorHAnsi" w:hAnsiTheme="minorHAnsi" w:cstheme="minorBidi"/>
      <w:kern w:val="2"/>
      <w:lang w:eastAsia="en-US"/>
    </w:rPr>
  </w:style>
  <w:style w:type="paragraph" w:customStyle="1" w:styleId="Default">
    <w:name w:val="Default"/>
    <w:rsid w:val="00931DFE"/>
    <w:pPr>
      <w:widowControl w:val="0"/>
      <w:autoSpaceDE w:val="0"/>
      <w:autoSpaceDN w:val="0"/>
      <w:adjustRightInd w:val="0"/>
    </w:pPr>
    <w:rPr>
      <w:rFonts w:ascii="Times" w:eastAsia="SimSun" w:hAnsi="Times" w:cs="Times"/>
      <w:color w:val="000000"/>
      <w:kern w:val="0"/>
      <w:lang w:eastAsia="zh-CN"/>
    </w:rPr>
  </w:style>
  <w:style w:type="character" w:styleId="a4">
    <w:name w:val="Hyperlink"/>
    <w:basedOn w:val="a0"/>
    <w:uiPriority w:val="99"/>
    <w:unhideWhenUsed/>
    <w:rsid w:val="00A1267D"/>
    <w:rPr>
      <w:color w:val="0563C1" w:themeColor="hyperlink"/>
      <w:u w:val="single"/>
    </w:rPr>
  </w:style>
  <w:style w:type="character" w:customStyle="1" w:styleId="10">
    <w:name w:val="标题 1字符"/>
    <w:basedOn w:val="a0"/>
    <w:link w:val="1"/>
    <w:uiPriority w:val="9"/>
    <w:rsid w:val="008F7E6E"/>
    <w:rPr>
      <w:rFonts w:ascii="Times New Roman" w:hAnsi="Times New Roman" w:cs="Times New Roman"/>
      <w:b/>
      <w:bCs/>
      <w:kern w:val="44"/>
      <w:sz w:val="44"/>
      <w:szCs w:val="44"/>
      <w:lang w:eastAsia="zh-CN"/>
    </w:rPr>
  </w:style>
  <w:style w:type="character" w:customStyle="1" w:styleId="40">
    <w:name w:val="标题 4字符"/>
    <w:basedOn w:val="a0"/>
    <w:link w:val="4"/>
    <w:uiPriority w:val="9"/>
    <w:semiHidden/>
    <w:rsid w:val="008F7E6E"/>
    <w:rPr>
      <w:rFonts w:asciiTheme="majorHAnsi" w:eastAsiaTheme="majorEastAsia" w:hAnsiTheme="majorHAnsi" w:cstheme="majorBidi"/>
      <w:b/>
      <w:bCs/>
      <w:kern w:val="0"/>
      <w:sz w:val="28"/>
      <w:szCs w:val="28"/>
      <w:lang w:eastAsia="zh-CN"/>
    </w:rPr>
  </w:style>
  <w:style w:type="character" w:customStyle="1" w:styleId="apple-converted-space">
    <w:name w:val="apple-converted-space"/>
    <w:basedOn w:val="a0"/>
    <w:rsid w:val="00522138"/>
  </w:style>
  <w:style w:type="paragraph" w:styleId="a5">
    <w:name w:val="header"/>
    <w:basedOn w:val="a"/>
    <w:link w:val="a6"/>
    <w:uiPriority w:val="99"/>
    <w:unhideWhenUsed/>
    <w:rsid w:val="00722838"/>
    <w:pPr>
      <w:pBdr>
        <w:bottom w:val="single" w:sz="6" w:space="1" w:color="auto"/>
      </w:pBdr>
      <w:tabs>
        <w:tab w:val="center" w:pos="4153"/>
        <w:tab w:val="right" w:pos="8306"/>
      </w:tabs>
      <w:snapToGrid w:val="0"/>
      <w:jc w:val="center"/>
    </w:pPr>
    <w:rPr>
      <w:sz w:val="18"/>
      <w:szCs w:val="18"/>
    </w:rPr>
  </w:style>
  <w:style w:type="character" w:customStyle="1" w:styleId="a6">
    <w:name w:val="页眉字符"/>
    <w:basedOn w:val="a0"/>
    <w:link w:val="a5"/>
    <w:uiPriority w:val="99"/>
    <w:rsid w:val="00722838"/>
    <w:rPr>
      <w:rFonts w:ascii="Times New Roman" w:hAnsi="Times New Roman" w:cs="Times New Roman"/>
      <w:kern w:val="0"/>
      <w:sz w:val="18"/>
      <w:szCs w:val="18"/>
      <w:lang w:eastAsia="zh-CN"/>
    </w:rPr>
  </w:style>
  <w:style w:type="paragraph" w:styleId="a7">
    <w:name w:val="footer"/>
    <w:basedOn w:val="a"/>
    <w:link w:val="a8"/>
    <w:uiPriority w:val="99"/>
    <w:unhideWhenUsed/>
    <w:rsid w:val="00722838"/>
    <w:pPr>
      <w:tabs>
        <w:tab w:val="center" w:pos="4153"/>
        <w:tab w:val="right" w:pos="8306"/>
      </w:tabs>
      <w:snapToGrid w:val="0"/>
    </w:pPr>
    <w:rPr>
      <w:sz w:val="18"/>
      <w:szCs w:val="18"/>
    </w:rPr>
  </w:style>
  <w:style w:type="character" w:customStyle="1" w:styleId="a8">
    <w:name w:val="页脚字符"/>
    <w:basedOn w:val="a0"/>
    <w:link w:val="a7"/>
    <w:uiPriority w:val="99"/>
    <w:rsid w:val="00722838"/>
    <w:rPr>
      <w:rFonts w:ascii="Times New Roman" w:hAnsi="Times New Roman" w:cs="Times New Roman"/>
      <w:kern w:val="0"/>
      <w:sz w:val="18"/>
      <w:szCs w:val="18"/>
      <w:lang w:eastAsia="zh-CN"/>
    </w:rPr>
  </w:style>
  <w:style w:type="character" w:styleId="a9">
    <w:name w:val="page number"/>
    <w:basedOn w:val="a0"/>
    <w:uiPriority w:val="99"/>
    <w:semiHidden/>
    <w:unhideWhenUsed/>
    <w:rsid w:val="00511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0781">
      <w:bodyDiv w:val="1"/>
      <w:marLeft w:val="0"/>
      <w:marRight w:val="0"/>
      <w:marTop w:val="0"/>
      <w:marBottom w:val="0"/>
      <w:divBdr>
        <w:top w:val="none" w:sz="0" w:space="0" w:color="auto"/>
        <w:left w:val="none" w:sz="0" w:space="0" w:color="auto"/>
        <w:bottom w:val="none" w:sz="0" w:space="0" w:color="auto"/>
        <w:right w:val="none" w:sz="0" w:space="0" w:color="auto"/>
      </w:divBdr>
    </w:div>
    <w:div w:id="45181889">
      <w:bodyDiv w:val="1"/>
      <w:marLeft w:val="0"/>
      <w:marRight w:val="0"/>
      <w:marTop w:val="0"/>
      <w:marBottom w:val="0"/>
      <w:divBdr>
        <w:top w:val="none" w:sz="0" w:space="0" w:color="auto"/>
        <w:left w:val="none" w:sz="0" w:space="0" w:color="auto"/>
        <w:bottom w:val="none" w:sz="0" w:space="0" w:color="auto"/>
        <w:right w:val="none" w:sz="0" w:space="0" w:color="auto"/>
      </w:divBdr>
    </w:div>
    <w:div w:id="74086372">
      <w:bodyDiv w:val="1"/>
      <w:marLeft w:val="0"/>
      <w:marRight w:val="0"/>
      <w:marTop w:val="0"/>
      <w:marBottom w:val="0"/>
      <w:divBdr>
        <w:top w:val="none" w:sz="0" w:space="0" w:color="auto"/>
        <w:left w:val="none" w:sz="0" w:space="0" w:color="auto"/>
        <w:bottom w:val="none" w:sz="0" w:space="0" w:color="auto"/>
        <w:right w:val="none" w:sz="0" w:space="0" w:color="auto"/>
      </w:divBdr>
    </w:div>
    <w:div w:id="229007008">
      <w:bodyDiv w:val="1"/>
      <w:marLeft w:val="0"/>
      <w:marRight w:val="0"/>
      <w:marTop w:val="0"/>
      <w:marBottom w:val="0"/>
      <w:divBdr>
        <w:top w:val="none" w:sz="0" w:space="0" w:color="auto"/>
        <w:left w:val="none" w:sz="0" w:space="0" w:color="auto"/>
        <w:bottom w:val="none" w:sz="0" w:space="0" w:color="auto"/>
        <w:right w:val="none" w:sz="0" w:space="0" w:color="auto"/>
      </w:divBdr>
    </w:div>
    <w:div w:id="237902822">
      <w:bodyDiv w:val="1"/>
      <w:marLeft w:val="0"/>
      <w:marRight w:val="0"/>
      <w:marTop w:val="0"/>
      <w:marBottom w:val="0"/>
      <w:divBdr>
        <w:top w:val="none" w:sz="0" w:space="0" w:color="auto"/>
        <w:left w:val="none" w:sz="0" w:space="0" w:color="auto"/>
        <w:bottom w:val="none" w:sz="0" w:space="0" w:color="auto"/>
        <w:right w:val="none" w:sz="0" w:space="0" w:color="auto"/>
      </w:divBdr>
    </w:div>
    <w:div w:id="361635850">
      <w:bodyDiv w:val="1"/>
      <w:marLeft w:val="0"/>
      <w:marRight w:val="0"/>
      <w:marTop w:val="0"/>
      <w:marBottom w:val="0"/>
      <w:divBdr>
        <w:top w:val="none" w:sz="0" w:space="0" w:color="auto"/>
        <w:left w:val="none" w:sz="0" w:space="0" w:color="auto"/>
        <w:bottom w:val="none" w:sz="0" w:space="0" w:color="auto"/>
        <w:right w:val="none" w:sz="0" w:space="0" w:color="auto"/>
      </w:divBdr>
    </w:div>
    <w:div w:id="499585758">
      <w:bodyDiv w:val="1"/>
      <w:marLeft w:val="0"/>
      <w:marRight w:val="0"/>
      <w:marTop w:val="0"/>
      <w:marBottom w:val="0"/>
      <w:divBdr>
        <w:top w:val="none" w:sz="0" w:space="0" w:color="auto"/>
        <w:left w:val="none" w:sz="0" w:space="0" w:color="auto"/>
        <w:bottom w:val="none" w:sz="0" w:space="0" w:color="auto"/>
        <w:right w:val="none" w:sz="0" w:space="0" w:color="auto"/>
      </w:divBdr>
    </w:div>
    <w:div w:id="632978430">
      <w:bodyDiv w:val="1"/>
      <w:marLeft w:val="0"/>
      <w:marRight w:val="0"/>
      <w:marTop w:val="0"/>
      <w:marBottom w:val="0"/>
      <w:divBdr>
        <w:top w:val="none" w:sz="0" w:space="0" w:color="auto"/>
        <w:left w:val="none" w:sz="0" w:space="0" w:color="auto"/>
        <w:bottom w:val="none" w:sz="0" w:space="0" w:color="auto"/>
        <w:right w:val="none" w:sz="0" w:space="0" w:color="auto"/>
      </w:divBdr>
    </w:div>
    <w:div w:id="656954985">
      <w:bodyDiv w:val="1"/>
      <w:marLeft w:val="0"/>
      <w:marRight w:val="0"/>
      <w:marTop w:val="0"/>
      <w:marBottom w:val="0"/>
      <w:divBdr>
        <w:top w:val="none" w:sz="0" w:space="0" w:color="auto"/>
        <w:left w:val="none" w:sz="0" w:space="0" w:color="auto"/>
        <w:bottom w:val="none" w:sz="0" w:space="0" w:color="auto"/>
        <w:right w:val="none" w:sz="0" w:space="0" w:color="auto"/>
      </w:divBdr>
    </w:div>
    <w:div w:id="688719276">
      <w:bodyDiv w:val="1"/>
      <w:marLeft w:val="0"/>
      <w:marRight w:val="0"/>
      <w:marTop w:val="0"/>
      <w:marBottom w:val="0"/>
      <w:divBdr>
        <w:top w:val="none" w:sz="0" w:space="0" w:color="auto"/>
        <w:left w:val="none" w:sz="0" w:space="0" w:color="auto"/>
        <w:bottom w:val="none" w:sz="0" w:space="0" w:color="auto"/>
        <w:right w:val="none" w:sz="0" w:space="0" w:color="auto"/>
      </w:divBdr>
    </w:div>
    <w:div w:id="1058166266">
      <w:bodyDiv w:val="1"/>
      <w:marLeft w:val="0"/>
      <w:marRight w:val="0"/>
      <w:marTop w:val="0"/>
      <w:marBottom w:val="0"/>
      <w:divBdr>
        <w:top w:val="none" w:sz="0" w:space="0" w:color="auto"/>
        <w:left w:val="none" w:sz="0" w:space="0" w:color="auto"/>
        <w:bottom w:val="none" w:sz="0" w:space="0" w:color="auto"/>
        <w:right w:val="none" w:sz="0" w:space="0" w:color="auto"/>
      </w:divBdr>
    </w:div>
    <w:div w:id="1157960232">
      <w:bodyDiv w:val="1"/>
      <w:marLeft w:val="0"/>
      <w:marRight w:val="0"/>
      <w:marTop w:val="0"/>
      <w:marBottom w:val="0"/>
      <w:divBdr>
        <w:top w:val="none" w:sz="0" w:space="0" w:color="auto"/>
        <w:left w:val="none" w:sz="0" w:space="0" w:color="auto"/>
        <w:bottom w:val="none" w:sz="0" w:space="0" w:color="auto"/>
        <w:right w:val="none" w:sz="0" w:space="0" w:color="auto"/>
      </w:divBdr>
    </w:div>
    <w:div w:id="1258175529">
      <w:bodyDiv w:val="1"/>
      <w:marLeft w:val="0"/>
      <w:marRight w:val="0"/>
      <w:marTop w:val="0"/>
      <w:marBottom w:val="0"/>
      <w:divBdr>
        <w:top w:val="none" w:sz="0" w:space="0" w:color="auto"/>
        <w:left w:val="none" w:sz="0" w:space="0" w:color="auto"/>
        <w:bottom w:val="none" w:sz="0" w:space="0" w:color="auto"/>
        <w:right w:val="none" w:sz="0" w:space="0" w:color="auto"/>
      </w:divBdr>
    </w:div>
    <w:div w:id="1277568185">
      <w:bodyDiv w:val="1"/>
      <w:marLeft w:val="0"/>
      <w:marRight w:val="0"/>
      <w:marTop w:val="0"/>
      <w:marBottom w:val="0"/>
      <w:divBdr>
        <w:top w:val="none" w:sz="0" w:space="0" w:color="auto"/>
        <w:left w:val="none" w:sz="0" w:space="0" w:color="auto"/>
        <w:bottom w:val="none" w:sz="0" w:space="0" w:color="auto"/>
        <w:right w:val="none" w:sz="0" w:space="0" w:color="auto"/>
      </w:divBdr>
    </w:div>
    <w:div w:id="1333950136">
      <w:bodyDiv w:val="1"/>
      <w:marLeft w:val="0"/>
      <w:marRight w:val="0"/>
      <w:marTop w:val="0"/>
      <w:marBottom w:val="0"/>
      <w:divBdr>
        <w:top w:val="none" w:sz="0" w:space="0" w:color="auto"/>
        <w:left w:val="none" w:sz="0" w:space="0" w:color="auto"/>
        <w:bottom w:val="none" w:sz="0" w:space="0" w:color="auto"/>
        <w:right w:val="none" w:sz="0" w:space="0" w:color="auto"/>
      </w:divBdr>
    </w:div>
    <w:div w:id="1348288390">
      <w:bodyDiv w:val="1"/>
      <w:marLeft w:val="0"/>
      <w:marRight w:val="0"/>
      <w:marTop w:val="0"/>
      <w:marBottom w:val="0"/>
      <w:divBdr>
        <w:top w:val="none" w:sz="0" w:space="0" w:color="auto"/>
        <w:left w:val="none" w:sz="0" w:space="0" w:color="auto"/>
        <w:bottom w:val="none" w:sz="0" w:space="0" w:color="auto"/>
        <w:right w:val="none" w:sz="0" w:space="0" w:color="auto"/>
      </w:divBdr>
    </w:div>
    <w:div w:id="1430159153">
      <w:bodyDiv w:val="1"/>
      <w:marLeft w:val="0"/>
      <w:marRight w:val="0"/>
      <w:marTop w:val="0"/>
      <w:marBottom w:val="0"/>
      <w:divBdr>
        <w:top w:val="none" w:sz="0" w:space="0" w:color="auto"/>
        <w:left w:val="none" w:sz="0" w:space="0" w:color="auto"/>
        <w:bottom w:val="none" w:sz="0" w:space="0" w:color="auto"/>
        <w:right w:val="none" w:sz="0" w:space="0" w:color="auto"/>
      </w:divBdr>
    </w:div>
    <w:div w:id="1544097447">
      <w:bodyDiv w:val="1"/>
      <w:marLeft w:val="0"/>
      <w:marRight w:val="0"/>
      <w:marTop w:val="0"/>
      <w:marBottom w:val="0"/>
      <w:divBdr>
        <w:top w:val="none" w:sz="0" w:space="0" w:color="auto"/>
        <w:left w:val="none" w:sz="0" w:space="0" w:color="auto"/>
        <w:bottom w:val="none" w:sz="0" w:space="0" w:color="auto"/>
        <w:right w:val="none" w:sz="0" w:space="0" w:color="auto"/>
      </w:divBdr>
    </w:div>
    <w:div w:id="1577394033">
      <w:bodyDiv w:val="1"/>
      <w:marLeft w:val="0"/>
      <w:marRight w:val="0"/>
      <w:marTop w:val="0"/>
      <w:marBottom w:val="0"/>
      <w:divBdr>
        <w:top w:val="none" w:sz="0" w:space="0" w:color="auto"/>
        <w:left w:val="none" w:sz="0" w:space="0" w:color="auto"/>
        <w:bottom w:val="none" w:sz="0" w:space="0" w:color="auto"/>
        <w:right w:val="none" w:sz="0" w:space="0" w:color="auto"/>
      </w:divBdr>
    </w:div>
    <w:div w:id="1609042102">
      <w:bodyDiv w:val="1"/>
      <w:marLeft w:val="0"/>
      <w:marRight w:val="0"/>
      <w:marTop w:val="0"/>
      <w:marBottom w:val="0"/>
      <w:divBdr>
        <w:top w:val="none" w:sz="0" w:space="0" w:color="auto"/>
        <w:left w:val="none" w:sz="0" w:space="0" w:color="auto"/>
        <w:bottom w:val="none" w:sz="0" w:space="0" w:color="auto"/>
        <w:right w:val="none" w:sz="0" w:space="0" w:color="auto"/>
      </w:divBdr>
    </w:div>
    <w:div w:id="1675381243">
      <w:bodyDiv w:val="1"/>
      <w:marLeft w:val="0"/>
      <w:marRight w:val="0"/>
      <w:marTop w:val="0"/>
      <w:marBottom w:val="0"/>
      <w:divBdr>
        <w:top w:val="none" w:sz="0" w:space="0" w:color="auto"/>
        <w:left w:val="none" w:sz="0" w:space="0" w:color="auto"/>
        <w:bottom w:val="none" w:sz="0" w:space="0" w:color="auto"/>
        <w:right w:val="none" w:sz="0" w:space="0" w:color="auto"/>
      </w:divBdr>
    </w:div>
    <w:div w:id="1701204909">
      <w:bodyDiv w:val="1"/>
      <w:marLeft w:val="0"/>
      <w:marRight w:val="0"/>
      <w:marTop w:val="0"/>
      <w:marBottom w:val="0"/>
      <w:divBdr>
        <w:top w:val="none" w:sz="0" w:space="0" w:color="auto"/>
        <w:left w:val="none" w:sz="0" w:space="0" w:color="auto"/>
        <w:bottom w:val="none" w:sz="0" w:space="0" w:color="auto"/>
        <w:right w:val="none" w:sz="0" w:space="0" w:color="auto"/>
      </w:divBdr>
    </w:div>
    <w:div w:id="1857579814">
      <w:bodyDiv w:val="1"/>
      <w:marLeft w:val="0"/>
      <w:marRight w:val="0"/>
      <w:marTop w:val="0"/>
      <w:marBottom w:val="0"/>
      <w:divBdr>
        <w:top w:val="none" w:sz="0" w:space="0" w:color="auto"/>
        <w:left w:val="none" w:sz="0" w:space="0" w:color="auto"/>
        <w:bottom w:val="none" w:sz="0" w:space="0" w:color="auto"/>
        <w:right w:val="none" w:sz="0" w:space="0" w:color="auto"/>
      </w:divBdr>
    </w:div>
    <w:div w:id="1975403871">
      <w:bodyDiv w:val="1"/>
      <w:marLeft w:val="0"/>
      <w:marRight w:val="0"/>
      <w:marTop w:val="0"/>
      <w:marBottom w:val="0"/>
      <w:divBdr>
        <w:top w:val="none" w:sz="0" w:space="0" w:color="auto"/>
        <w:left w:val="none" w:sz="0" w:space="0" w:color="auto"/>
        <w:bottom w:val="none" w:sz="0" w:space="0" w:color="auto"/>
        <w:right w:val="none" w:sz="0" w:space="0" w:color="auto"/>
      </w:divBdr>
    </w:div>
    <w:div w:id="2071221043">
      <w:bodyDiv w:val="1"/>
      <w:marLeft w:val="0"/>
      <w:marRight w:val="0"/>
      <w:marTop w:val="0"/>
      <w:marBottom w:val="0"/>
      <w:divBdr>
        <w:top w:val="none" w:sz="0" w:space="0" w:color="auto"/>
        <w:left w:val="none" w:sz="0" w:space="0" w:color="auto"/>
        <w:bottom w:val="none" w:sz="0" w:space="0" w:color="auto"/>
        <w:right w:val="none" w:sz="0" w:space="0" w:color="auto"/>
      </w:divBdr>
    </w:div>
    <w:div w:id="2087065160">
      <w:bodyDiv w:val="1"/>
      <w:marLeft w:val="0"/>
      <w:marRight w:val="0"/>
      <w:marTop w:val="0"/>
      <w:marBottom w:val="0"/>
      <w:divBdr>
        <w:top w:val="none" w:sz="0" w:space="0" w:color="auto"/>
        <w:left w:val="none" w:sz="0" w:space="0" w:color="auto"/>
        <w:bottom w:val="none" w:sz="0" w:space="0" w:color="auto"/>
        <w:right w:val="none" w:sz="0" w:space="0" w:color="auto"/>
      </w:divBdr>
    </w:div>
    <w:div w:id="21172160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earch.proquest.com.mutex.gmu.edu/docview/214673906?accountid=14541" TargetMode="External"/><Relationship Id="rId8" Type="http://schemas.openxmlformats.org/officeDocument/2006/relationships/hyperlink" Target="http://www.sec.gov/news/testimony/ts042105whd.ht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991</Words>
  <Characters>5661</Characters>
  <Application>Microsoft Macintosh Word</Application>
  <DocSecurity>0</DocSecurity>
  <Lines>104</Lines>
  <Paragraphs>30</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zwang34</dc:creator>
  <cp:keywords/>
  <dc:description/>
  <cp:lastModifiedBy>zwang34</cp:lastModifiedBy>
  <cp:revision>4</cp:revision>
  <cp:lastPrinted>2016-03-23T02:53:00Z</cp:lastPrinted>
  <dcterms:created xsi:type="dcterms:W3CDTF">2016-03-23T02:44:00Z</dcterms:created>
  <dcterms:modified xsi:type="dcterms:W3CDTF">2016-03-23T02:56:00Z</dcterms:modified>
</cp:coreProperties>
</file>